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5" w:rsidRPr="007372B5" w:rsidRDefault="007372B5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>ШЕВЧЕНКІВСЬКИЙ ЛІЦЕЙ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>ВЕЛИКОДИМЕРСЬКОЇ СЕЛИЩНОЇ РАДИ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>БРОВАРСЬКОГО РАЙОНУ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>КИЇВСЬКОЇ ОБЛАСТІ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pacing w:val="40"/>
          <w:sz w:val="72"/>
          <w:szCs w:val="72"/>
        </w:rPr>
      </w:pPr>
      <w:r w:rsidRPr="007372B5">
        <w:rPr>
          <w:rStyle w:val="a4"/>
          <w:rFonts w:ascii="Times New Roman" w:hAnsi="Times New Roman" w:cs="Times New Roman"/>
          <w:spacing w:val="40"/>
          <w:sz w:val="72"/>
          <w:szCs w:val="72"/>
        </w:rPr>
        <w:t>ОСВІТНЯ ПРОГРАМА</w:t>
      </w:r>
    </w:p>
    <w:p w:rsidR="007372B5" w:rsidRPr="007372B5" w:rsidRDefault="007372B5" w:rsidP="007372B5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i/>
          <w:spacing w:val="40"/>
          <w:sz w:val="72"/>
          <w:szCs w:val="72"/>
          <w:lang w:val="uk-UA"/>
        </w:rPr>
      </w:pPr>
      <w:r w:rsidRPr="007372B5">
        <w:rPr>
          <w:rStyle w:val="a4"/>
          <w:rFonts w:ascii="Times New Roman" w:hAnsi="Times New Roman" w:cs="Times New Roman"/>
          <w:spacing w:val="40"/>
          <w:sz w:val="44"/>
          <w:szCs w:val="44"/>
          <w:lang w:val="uk-UA"/>
        </w:rPr>
        <w:t xml:space="preserve">на 2022-2023 </w:t>
      </w:r>
      <w:proofErr w:type="spellStart"/>
      <w:r w:rsidRPr="007372B5">
        <w:rPr>
          <w:rStyle w:val="a4"/>
          <w:rFonts w:ascii="Times New Roman" w:hAnsi="Times New Roman" w:cs="Times New Roman"/>
          <w:spacing w:val="40"/>
          <w:sz w:val="44"/>
          <w:szCs w:val="44"/>
          <w:lang w:val="uk-UA"/>
        </w:rPr>
        <w:t>н.р</w:t>
      </w:r>
      <w:proofErr w:type="spellEnd"/>
      <w:r w:rsidRPr="007372B5">
        <w:rPr>
          <w:rStyle w:val="a4"/>
          <w:rFonts w:ascii="Times New Roman" w:hAnsi="Times New Roman" w:cs="Times New Roman"/>
          <w:spacing w:val="40"/>
          <w:sz w:val="52"/>
          <w:szCs w:val="52"/>
          <w:lang w:val="uk-UA"/>
        </w:rPr>
        <w:t>.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proofErr w:type="gramStart"/>
      <w:r w:rsidRPr="007372B5">
        <w:rPr>
          <w:rStyle w:val="a4"/>
          <w:rFonts w:ascii="Times New Roman" w:hAnsi="Times New Roman" w:cs="Times New Roman"/>
          <w:sz w:val="32"/>
          <w:szCs w:val="28"/>
        </w:rPr>
        <w:t>Р</w:t>
      </w:r>
      <w:proofErr w:type="gramEnd"/>
      <w:r w:rsidRPr="007372B5">
        <w:rPr>
          <w:rStyle w:val="a4"/>
          <w:rFonts w:ascii="Times New Roman" w:hAnsi="Times New Roman" w:cs="Times New Roman"/>
          <w:sz w:val="32"/>
          <w:szCs w:val="28"/>
        </w:rPr>
        <w:t>івні</w:t>
      </w:r>
      <w:proofErr w:type="spellEnd"/>
      <w:r w:rsidRPr="007372B5">
        <w:rPr>
          <w:rStyle w:val="a4"/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372B5">
        <w:rPr>
          <w:rStyle w:val="a4"/>
          <w:rFonts w:ascii="Times New Roman" w:hAnsi="Times New Roman" w:cs="Times New Roman"/>
          <w:sz w:val="32"/>
          <w:szCs w:val="28"/>
        </w:rPr>
        <w:t>освіти</w:t>
      </w:r>
      <w:proofErr w:type="spellEnd"/>
      <w:r w:rsidRPr="007372B5">
        <w:rPr>
          <w:rStyle w:val="a4"/>
          <w:rFonts w:ascii="Times New Roman" w:hAnsi="Times New Roman" w:cs="Times New Roman"/>
          <w:sz w:val="32"/>
          <w:szCs w:val="28"/>
        </w:rPr>
        <w:t xml:space="preserve">: </w:t>
      </w:r>
      <w:r>
        <w:rPr>
          <w:rStyle w:val="a4"/>
          <w:rFonts w:ascii="Times New Roman" w:hAnsi="Times New Roman" w:cs="Times New Roman"/>
          <w:sz w:val="32"/>
          <w:szCs w:val="28"/>
          <w:lang w:val="uk-UA"/>
        </w:rPr>
        <w:t xml:space="preserve">дошкільна 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>СХВАЛЕНО</w:t>
      </w: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2B5">
        <w:rPr>
          <w:rStyle w:val="a4"/>
          <w:rFonts w:ascii="Times New Roman" w:hAnsi="Times New Roman" w:cs="Times New Roman"/>
          <w:sz w:val="28"/>
          <w:szCs w:val="28"/>
        </w:rPr>
        <w:t>ради</w:t>
      </w:r>
      <w:proofErr w:type="gram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закладу</w:t>
      </w: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Протокол № 1 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від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30.08.202</w:t>
      </w:r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>2</w:t>
      </w:r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р.</w:t>
      </w: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ради _______ </w:t>
      </w:r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>Лариса</w:t>
      </w:r>
      <w:proofErr w:type="gramStart"/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gramEnd"/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>ІГАЧОВА</w:t>
      </w:r>
    </w:p>
    <w:p w:rsidR="007372B5" w:rsidRPr="007372B5" w:rsidRDefault="007372B5" w:rsidP="007372B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вводиться в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дію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B5">
        <w:rPr>
          <w:rStyle w:val="a4"/>
          <w:rFonts w:ascii="Times New Roman" w:hAnsi="Times New Roman" w:cs="Times New Roman"/>
          <w:sz w:val="28"/>
          <w:szCs w:val="28"/>
        </w:rPr>
        <w:t>з</w:t>
      </w:r>
      <w:proofErr w:type="spellEnd"/>
      <w:r w:rsidRPr="007372B5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7372B5">
        <w:rPr>
          <w:rStyle w:val="a4"/>
          <w:rFonts w:ascii="Times New Roman" w:hAnsi="Times New Roman" w:cs="Times New Roman"/>
          <w:sz w:val="28"/>
          <w:szCs w:val="28"/>
          <w:u w:val="single"/>
        </w:rPr>
        <w:t>01.09.202</w:t>
      </w:r>
      <w:r w:rsidRPr="007372B5"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7372B5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7372B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40" w:lineRule="auto"/>
        <w:ind w:left="3540" w:firstLine="708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>Директор ___________ Лариса СІГАЧОВА</w:t>
      </w:r>
    </w:p>
    <w:p w:rsidR="007372B5" w:rsidRPr="007372B5" w:rsidRDefault="007372B5" w:rsidP="007372B5">
      <w:pPr>
        <w:spacing w:after="0" w:line="240" w:lineRule="auto"/>
        <w:ind w:left="3540" w:firstLine="708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372B5" w:rsidRPr="007372B5" w:rsidRDefault="007372B5" w:rsidP="007372B5">
      <w:pPr>
        <w:spacing w:after="0" w:line="240" w:lineRule="auto"/>
        <w:ind w:left="3540" w:firstLine="708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7372B5">
        <w:rPr>
          <w:rStyle w:val="a4"/>
          <w:rFonts w:ascii="Times New Roman" w:hAnsi="Times New Roman" w:cs="Times New Roman"/>
          <w:sz w:val="28"/>
          <w:szCs w:val="28"/>
          <w:lang w:val="uk-UA"/>
        </w:rPr>
        <w:t>(Наказ №36 від 30.08.2022 р.)</w:t>
      </w:r>
    </w:p>
    <w:p w:rsidR="007372B5" w:rsidRPr="007372B5" w:rsidRDefault="007372B5" w:rsidP="007372B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372B5" w:rsidRPr="007372B5" w:rsidRDefault="007372B5" w:rsidP="007372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372B5" w:rsidRPr="007372B5" w:rsidRDefault="007372B5" w:rsidP="00515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B5" w:rsidRPr="007372B5" w:rsidRDefault="007372B5" w:rsidP="005158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2B5" w:rsidRDefault="007372B5" w:rsidP="003B636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37D" w:rsidRPr="003B6362" w:rsidRDefault="002B537D" w:rsidP="008F05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Діяльність закладу дошкільної освіти  «Дзвіночок» Шевченківського ліцею (далі ЗДО) здійснюється відповідно до Законів України:</w:t>
      </w:r>
    </w:p>
    <w:p w:rsidR="00265D0C" w:rsidRPr="003B6362" w:rsidRDefault="00D56200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«Про освіту»</w:t>
      </w:r>
    </w:p>
    <w:p w:rsidR="00265D0C" w:rsidRPr="003B6362" w:rsidRDefault="00D56200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18.05.2019 №286/2019 «Про стратегію націо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нально-патріотичного виховання»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Базового компоненту дошкільної освіти (нова редак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ція) наказ МОН від 20.01.2021р.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Положення про дошкільний навчальний заклад (затверджено постановою Кабінету Міністр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ів України від 20.03.2003 №305)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Санітарного регламенту для дошкільних навчальних закладів (затверджено наказом Міністерства охорони здоров’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я України від 24.03.2016 №234)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Гранично допустимого навантаження на дитину у дошкільних навчальних закладах різних типів та форм власності (затверджено наказом МО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Н України від 20.04.2015 №446)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Листів Міністерства освіти і науки: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функціонування української мови як державної»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реалії сьогодення та введення воєнного стану: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наказ Президента України від 24.02.2022 № 64/2022 «Про введення воєнного стану в України», який запроваджено з 5:30 ранку 24.02.2022. освітня діяльність у закладі у 2022-2023 навчальному році буде здійснюватись за  наступними нормативними документами: 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02.04.2022 № 1/3845-22 «Про рекомендації для працівників закладів дошкільної освіти на період дії воєнного стану в Україні»;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27.07.2022 № 1/8504-22 «Про окремі питання діяльності закладів дошкільної освіти» у 2022/2023 навчальному році;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22.06.2022 № 1/6894-22 «Про методичні рекомендації щодо організації освітнього процесу в закладах дошкільної освіти в літній період»;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07.07.2021 № 1/9-344 «Планування роботи закладу дошкільної освіти на рік»;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12.12.2019 №1/9-766 «Щодо комунікації з дітьми дошкільного віку з родин учасників ООС/АТО, внутрішньо переміщених осіб та організації взаємодії з їхніми батьками»;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інструктивно-методичні рекомендації від 19.04.2018 №1/9-249 «Щодо забезпечення наступності дошкільної та початкової освіти»;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13.11.2018 №1/9-691 «Щодо організації діяльності інклюзивних груп у закладах дошкільної освіти»;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Постанова КМУ від 09.08.2017 №588 «Про внесення змін до Порядку організації інклюзивного навчання у загальноосвітніх навчальних закладах»;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14.02.2019 №1/11-1491 «Щодо організації роботи та дотримання вимог з питань охорони праці та безпеки життєдіяльності у закладах дошкільної освіти»;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Постанова Головного державного санітарного лікаря України МОЗ України «Протиепідемічні заходи у закладах дошкільної освіти на період карантину у зв'язку поширенням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хвороби  «COVID-19»  від 22.09.2020 №55; 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14.08.2020 №1/9-436 «Про створення безпечного освітнього середовища в закладі освіти та попередження і протидії боулінгу (цькуванню)» ; 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Лист МОН України від 11.02.2020 №1/9 – 80 «Про затвердження наказу МОН України від 28 грудня 2019 року №1646 «Деякі питання реагування на випадки боулінгу (цькування) та застосування заходів виховного впливу в закладах освіти». 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Задля якісної організації дистанційної освіти в режимі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, яку запроваджено з причини введення воєнного стану педагоги використовують наступні рекомендації та рубрики: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МОН України. Збірка «Тихі ігри» що допоможуть відновити емоційний стан дітей»</w:t>
      </w:r>
      <w:r w:rsidR="00D56200" w:rsidRPr="003B6362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 спільно Експерти УІРО та ЮНІСЕФ;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Платформа розвитку для дошкільнят НУМО; </w:t>
      </w:r>
    </w:p>
    <w:p w:rsidR="00D56200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Telegram-канал «Підтримай дитину»;  </w:t>
      </w:r>
    </w:p>
    <w:p w:rsidR="00265D0C" w:rsidRPr="003B6362" w:rsidRDefault="00265D0C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МОН України рубрика: «Сучасне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під крилами захисту»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програми:</w:t>
      </w:r>
      <w:r w:rsidR="00E22888" w:rsidRPr="003B636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6B4D5C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права кожної дитини на здобуття дошкільної освіти, яка забезпечує організацію життєдіяльності в межах вікової компетентності дітей від 3 до 6(7) років із поступовим ускладненням змістовної наповнюваності на кожному віковому етапі, забезпечення всебічного розвитку дитини відповідно до її задатків, нахилів, здібностей, індивідуальних, психічних та фізичних особливостей, культурних потреб; формування</w:t>
      </w:r>
      <w:r w:rsidR="00E22888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у дитини дошкільного віку</w:t>
      </w:r>
      <w:r w:rsidR="006B4D5C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норм, набуття </w:t>
      </w:r>
      <w:r w:rsidR="007A6917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="006B4D5C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життєвого соціального досвіду.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програми: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створення належних умов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зміцнення фізичного, психічного та соціального здоров'я дитини;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і зміцнення психологічного здоров'я, створення умов, що забезпечують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емоційнісно-особистісний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кожної дитини та педагогів;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профілактика проявів боулінгу, правове виховання учасників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освітньо-виховного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процесу;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збереження самоцінності дошкільного дитинства; </w:t>
      </w:r>
    </w:p>
    <w:p w:rsidR="0043753F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особливостей та вимог до рівня розвиненості; </w:t>
      </w:r>
    </w:p>
    <w:p w:rsidR="00265D0C" w:rsidRPr="003B6362" w:rsidRDefault="0043753F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розвиток творчих задатків, здібностей, талантів дітей.</w:t>
      </w:r>
    </w:p>
    <w:p w:rsidR="003445FE" w:rsidRDefault="003445FE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b/>
          <w:sz w:val="28"/>
          <w:szCs w:val="28"/>
          <w:lang w:val="uk-UA"/>
        </w:rPr>
        <w:t>Структура програми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освітніх напрямів відповідно до Базового компонента дошкільної освіти (Державного стандарту дошкільної освіти), визначення загального обсягу навантаження на кожний вік дитини: молодший вік (четвертий рік життя), середній вік (п’ятий рік життя), старший дошкільний вік (шостий рік життя). </w:t>
      </w:r>
    </w:p>
    <w:p w:rsidR="008F0529" w:rsidRPr="003B6362" w:rsidRDefault="008F0529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01B" w:rsidRDefault="004F001B" w:rsidP="008F052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0529">
        <w:rPr>
          <w:rFonts w:ascii="Times New Roman" w:hAnsi="Times New Roman" w:cs="Times New Roman"/>
          <w:b/>
          <w:sz w:val="32"/>
          <w:szCs w:val="32"/>
          <w:lang w:val="uk-UA"/>
        </w:rPr>
        <w:t>Планування освітньої діяльності з дітьми</w:t>
      </w:r>
    </w:p>
    <w:p w:rsidR="008F0529" w:rsidRPr="008F0529" w:rsidRDefault="008F0529" w:rsidP="00BB185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01B" w:rsidRPr="00B57E07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E07">
        <w:rPr>
          <w:rFonts w:ascii="Times New Roman" w:hAnsi="Times New Roman" w:cs="Times New Roman"/>
          <w:sz w:val="28"/>
          <w:szCs w:val="28"/>
          <w:lang w:val="uk-UA"/>
        </w:rPr>
        <w:t xml:space="preserve">В цьому навчальному році залишається актуальною технологія блочно-тематичного планування освітнього процесу, суть якого полягає в тому, що інтегрований зміст освітньої роботи з дошкільниками (лексична тематика тижня, двох тижнів, місяця тощо) об'єднується в блочно-тематичні цикли (навчально-виховні блоки), проживання яких забезпечує дитині цілісне сприйняття теми протягом тижня (двох тижнів, місяця) через різні види щоденної діяльності (навчальної, ігрової, рухової, художньо-мовленнєвої, театралізованої, художньо-продуктивної (образотворчої), трудової, дослідницько-пошукової тощо). </w:t>
      </w:r>
    </w:p>
    <w:p w:rsidR="004F001B" w:rsidRPr="00B57E07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E07">
        <w:rPr>
          <w:rFonts w:ascii="Times New Roman" w:hAnsi="Times New Roman" w:cs="Times New Roman"/>
          <w:sz w:val="28"/>
          <w:szCs w:val="28"/>
          <w:lang w:val="uk-UA"/>
        </w:rPr>
        <w:t xml:space="preserve">Блочно-тематичне планування освітнього процесу (планування за навчально-виховними блоками) є одним з ефективних інструментів реалізації принципу інтеграції і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</w:t>
      </w:r>
    </w:p>
    <w:p w:rsidR="008F0529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2B5">
        <w:rPr>
          <w:rFonts w:ascii="Times New Roman" w:hAnsi="Times New Roman" w:cs="Times New Roman"/>
          <w:sz w:val="28"/>
          <w:szCs w:val="28"/>
          <w:lang w:val="uk-UA"/>
        </w:rPr>
        <w:t>З метою реалізації Базового компонента дошкільної освіти (Державн</w:t>
      </w:r>
      <w:r w:rsidR="001A6766" w:rsidRPr="007372B5">
        <w:rPr>
          <w:rFonts w:ascii="Times New Roman" w:hAnsi="Times New Roman" w:cs="Times New Roman"/>
          <w:sz w:val="28"/>
          <w:szCs w:val="28"/>
          <w:lang w:val="uk-UA"/>
        </w:rPr>
        <w:t xml:space="preserve">ого стандарту </w:t>
      </w:r>
      <w:proofErr w:type="spellStart"/>
      <w:r w:rsidR="001A6766" w:rsidRPr="007372B5">
        <w:rPr>
          <w:rFonts w:ascii="Times New Roman" w:hAnsi="Times New Roman" w:cs="Times New Roman"/>
          <w:sz w:val="28"/>
          <w:szCs w:val="28"/>
          <w:lang w:val="uk-UA"/>
        </w:rPr>
        <w:t>дошільної</w:t>
      </w:r>
      <w:proofErr w:type="spellEnd"/>
      <w:r w:rsidR="001A6766" w:rsidRPr="007372B5">
        <w:rPr>
          <w:rFonts w:ascii="Times New Roman" w:hAnsi="Times New Roman" w:cs="Times New Roman"/>
          <w:sz w:val="28"/>
          <w:szCs w:val="28"/>
          <w:lang w:val="uk-UA"/>
        </w:rPr>
        <w:t xml:space="preserve"> освіти)</w:t>
      </w:r>
      <w:r w:rsidRPr="007372B5">
        <w:rPr>
          <w:rFonts w:ascii="Times New Roman" w:hAnsi="Times New Roman" w:cs="Times New Roman"/>
          <w:sz w:val="28"/>
          <w:szCs w:val="28"/>
          <w:lang w:val="uk-UA"/>
        </w:rPr>
        <w:t>,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типів та форми власності» у 2022-2023 навчальному році в закладі дошкільної освіти загальний обсяг тижневого навантаження</w:t>
      </w:r>
      <w:r w:rsidR="008F0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82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</w:t>
      </w:r>
      <w:r w:rsidR="00CB2A82" w:rsidRPr="007372B5">
        <w:rPr>
          <w:rFonts w:ascii="Times New Roman" w:hAnsi="Times New Roman" w:cs="Times New Roman"/>
          <w:sz w:val="28"/>
          <w:szCs w:val="28"/>
          <w:lang w:val="uk-UA"/>
        </w:rPr>
        <w:t>віковим групам</w:t>
      </w:r>
      <w:r w:rsidR="001A6766" w:rsidRPr="007372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529" w:rsidRPr="008F0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529" w:rsidRPr="003B6362" w:rsidRDefault="008F0529" w:rsidP="008F0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занять,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6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36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F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 –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8F0529" w:rsidRPr="003B6362" w:rsidRDefault="008F0529" w:rsidP="008F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:</w:t>
      </w:r>
    </w:p>
    <w:p w:rsidR="008F0529" w:rsidRPr="003B6362" w:rsidRDefault="008F0529" w:rsidP="008F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3B63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6362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;</w:t>
      </w:r>
    </w:p>
    <w:p w:rsidR="008F0529" w:rsidRPr="003B6362" w:rsidRDefault="008F0529" w:rsidP="008F0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4 до 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;</w:t>
      </w:r>
    </w:p>
    <w:p w:rsidR="004F001B" w:rsidRPr="008F0529" w:rsidRDefault="008F0529" w:rsidP="008F0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</w:rPr>
        <w:t xml:space="preserve">- 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від 5 до 6 років </w:t>
      </w:r>
      <w:r w:rsidRPr="003B6362">
        <w:rPr>
          <w:rFonts w:ascii="Times New Roman" w:hAnsi="Times New Roman" w:cs="Times New Roman"/>
          <w:sz w:val="28"/>
          <w:szCs w:val="28"/>
        </w:rPr>
        <w:t xml:space="preserve"> – 25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page" w:tblpX="526" w:tblpY="34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3"/>
        <w:gridCol w:w="33"/>
        <w:gridCol w:w="81"/>
      </w:tblGrid>
      <w:tr w:rsidR="001A6766" w:rsidRPr="007372B5" w:rsidTr="001A6766">
        <w:trPr>
          <w:gridAfter w:val="4"/>
          <w:trHeight w:val="507"/>
          <w:tblCellSpacing w:w="15" w:type="dxa"/>
        </w:trPr>
        <w:tc>
          <w:tcPr>
            <w:tcW w:w="0" w:type="auto"/>
            <w:vMerge w:val="restart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gridAfter w:val="2"/>
          <w:tblCellSpacing w:w="15" w:type="dxa"/>
        </w:trPr>
        <w:tc>
          <w:tcPr>
            <w:tcW w:w="0" w:type="auto"/>
            <w:vMerge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Merge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766" w:rsidRPr="007372B5" w:rsidTr="001A6766">
        <w:trPr>
          <w:tblCellSpacing w:w="15" w:type="dxa"/>
        </w:trPr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6766" w:rsidRPr="007372B5" w:rsidRDefault="001A6766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001B" w:rsidRPr="003B6362" w:rsidRDefault="005521A1" w:rsidP="00BB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01B" w:rsidRPr="003B6362">
        <w:rPr>
          <w:rFonts w:ascii="Times New Roman" w:hAnsi="Times New Roman" w:cs="Times New Roman"/>
          <w:sz w:val="28"/>
          <w:szCs w:val="28"/>
        </w:rPr>
        <w:t xml:space="preserve">Максимально допустима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по</w:t>
      </w:r>
      <w:r w:rsidR="001A6766" w:rsidRPr="003B6362">
        <w:rPr>
          <w:rFonts w:ascii="Times New Roman" w:hAnsi="Times New Roman" w:cs="Times New Roman"/>
          <w:sz w:val="28"/>
          <w:szCs w:val="28"/>
        </w:rPr>
        <w:t>ловині</w:t>
      </w:r>
      <w:proofErr w:type="spellEnd"/>
      <w:r w:rsidR="001A6766" w:rsidRPr="003B636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="001A6766" w:rsidRPr="003B63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6766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6" w:rsidRPr="003B6362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1A6766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6" w:rsidRPr="003B6362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="001A6766"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6766" w:rsidRPr="003B6362">
        <w:rPr>
          <w:rFonts w:ascii="Times New Roman" w:hAnsi="Times New Roman" w:cs="Times New Roman"/>
          <w:sz w:val="28"/>
          <w:szCs w:val="28"/>
        </w:rPr>
        <w:t>середн</w:t>
      </w:r>
      <w:r w:rsidR="001A6766" w:rsidRPr="003B6362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1A6766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груп </w:t>
      </w:r>
      <w:r w:rsidR="004F001B" w:rsidRPr="003B6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занять. У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статичної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1B" w:rsidRPr="003B6362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="004F001B"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становить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6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362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в першу половину дня та 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працездатністю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середа).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поєднуються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чергуються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збільшуватись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(на 5, 10, 15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різновіковій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).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дня. При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статичного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різновікової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2 до 3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4 до 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25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педагогами закладу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 проводиться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538" w:rsidRPr="003B6362">
        <w:rPr>
          <w:rFonts w:ascii="Times New Roman" w:hAnsi="Times New Roman" w:cs="Times New Roman"/>
          <w:sz w:val="28"/>
          <w:szCs w:val="28"/>
          <w:lang w:val="uk-UA"/>
        </w:rPr>
        <w:t>молодш</w:t>
      </w:r>
      <w:r w:rsidRPr="003B636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психофізіологічні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 для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2 до 3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3 до 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20-25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5 до 6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– 25-30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Pr="003B6362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. Форма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педагогом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мети, сезону,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умов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>.</w:t>
      </w:r>
    </w:p>
    <w:p w:rsidR="004F001B" w:rsidRDefault="004F001B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у 2022-2023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63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6362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3B6362">
        <w:rPr>
          <w:rFonts w:ascii="Times New Roman" w:hAnsi="Times New Roman" w:cs="Times New Roman"/>
          <w:sz w:val="28"/>
          <w:szCs w:val="28"/>
        </w:rPr>
        <w:t xml:space="preserve"> Базового компонента:</w:t>
      </w:r>
    </w:p>
    <w:p w:rsidR="008F0529" w:rsidRPr="008F0529" w:rsidRDefault="008F0529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7142"/>
      </w:tblGrid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8F0529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</w:t>
            </w:r>
            <w:proofErr w:type="spellEnd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напрям</w:t>
            </w:r>
            <w:proofErr w:type="spellEnd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8F0529" w:rsidRDefault="004F001B" w:rsidP="008F05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освітнього</w:t>
            </w:r>
            <w:proofErr w:type="spellEnd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529">
              <w:rPr>
                <w:rFonts w:ascii="Times New Roman" w:hAnsi="Times New Roman" w:cs="Times New Roman"/>
                <w:b/>
                <w:sz w:val="28"/>
                <w:szCs w:val="28"/>
              </w:rPr>
              <w:t>процесу</w:t>
            </w:r>
            <w:proofErr w:type="spellEnd"/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Особистість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ійких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позитивних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культурно-гігієнічних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самообслуговування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підтримка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правил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ціннісних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закріпленню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як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організаційних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повсякденному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5A" w:rsidRDefault="00BB185A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F001B"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сенсорно-пізнавальному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просторі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</w:t>
            </w:r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сенсорної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зір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слух, нюх,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дотик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смак);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Опанування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понять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форма, величина,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час,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лічба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логічних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Накопичення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сенсорномоторного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сформованість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доступних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еталонів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відображають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довколишнього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Показником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сформованості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отримані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практичній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ігрова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трудова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сенсорно-пізнавальна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дійсності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наочно-дієвого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наочно-образного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словесно-логічного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Сенсорно-пізнавальна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лінія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інтеграцію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пошуково-дослідницьких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елементарних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цілісної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картини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компетентної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природному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довкіллі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доступні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про природу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планети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Земля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емоційно-ціннісного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природного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Природнича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освіченість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живі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організми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природне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багатоманітність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причинно-наслідкові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природному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довкіллі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взаємозв’язок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умов,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рослинного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негативний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на стан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іннісне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виявляється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природодоцільній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поведінці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виважене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рослин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тварин;готовність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включатись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пов’язана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природою;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дотримування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ініціативності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організованості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ігровій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них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ійкого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себе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уподобань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кожної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виникненню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дружніх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партнерських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інтересами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спонукає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думками,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заохочує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імпровізації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оцінно-етичних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іумі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іально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визнаної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орієнтуватись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людських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взаємин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співпереживати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співчувати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Завдяки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спілкуванню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дорослими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носіями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суспільно-історичного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з’являються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долучатися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спільної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однолітками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дорослими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об’єднувати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зусилля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поважати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людей.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людьми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своєрідним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видом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входження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людський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соціум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узгоджувати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членами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01B" w:rsidRPr="003B6362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Мовлення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E07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елементарних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специфічно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людського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найвагомішим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досягненням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виступає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«каналом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немовних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сфер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буття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засобом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ізнання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конкретно-чуттєвого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понятійно-абстрактного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01B" w:rsidRPr="003B6362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Мовленнєве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духовно-емоційний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органічний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національним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вихованням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говоріння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слухання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формуються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мовленнєві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спільнот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громадянами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як державною на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вільного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дорослими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позитивного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F001B" w:rsidRPr="008F0529" w:rsidTr="0088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01B" w:rsidRPr="00BB185A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Дитина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іті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</w:t>
            </w:r>
            <w:proofErr w:type="spellEnd"/>
            <w:r w:rsidRPr="00BB1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529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краси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проявах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ціннісного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предметного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елементарних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технологічних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художньо-продуктивних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Результатом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видами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предметної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01B" w:rsidRDefault="004F001B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 </w:t>
            </w:r>
          </w:p>
          <w:p w:rsidR="00BB185A" w:rsidRPr="00BB185A" w:rsidRDefault="00BB185A" w:rsidP="00BB1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15E4" w:rsidRDefault="00B815E4" w:rsidP="00BB185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85A">
        <w:rPr>
          <w:rFonts w:ascii="Times New Roman" w:hAnsi="Times New Roman" w:cs="Times New Roman"/>
          <w:b/>
          <w:sz w:val="32"/>
          <w:szCs w:val="32"/>
          <w:lang w:val="uk-UA"/>
        </w:rPr>
        <w:t>Програмно – методичне забезпечення освітньої діяльності</w:t>
      </w:r>
    </w:p>
    <w:p w:rsidR="00BB185A" w:rsidRPr="00BB185A" w:rsidRDefault="00BB185A" w:rsidP="00BB185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45FE" w:rsidRPr="003B6362" w:rsidRDefault="00B57A5A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У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програмами.</w:t>
      </w:r>
    </w:p>
    <w:p w:rsidR="00B57A5A" w:rsidRPr="003B6362" w:rsidRDefault="00B57A5A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Зміст інваріантної складової забезпечується через оновлену чинну Програму розвитку дитини дошкільного віку «Українське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2B12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Білан О.І., освітню програму для дітей старшого дошкільного віку «Впевнений старт».</w:t>
      </w:r>
    </w:p>
    <w:p w:rsidR="00202B12" w:rsidRPr="003B6362" w:rsidRDefault="00B815E4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Варіативна складова реалізується через Парціальну програму</w:t>
      </w:r>
      <w:r w:rsidR="00202B12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з основ здоров’я та безпеки життєдіяльності дітей дошкільного віку «Про себе треба знати, про себе треба дбати», 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>парціальну програму з національно-патріотичного виховання для дітей середнього та старшого дошкільного віку «Україна – моя Батьківщина».</w:t>
      </w:r>
    </w:p>
    <w:p w:rsidR="00B815E4" w:rsidRPr="003B6362" w:rsidRDefault="00B815E4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526FD" w:rsidRPr="003B6362">
        <w:rPr>
          <w:rFonts w:ascii="Times New Roman" w:hAnsi="Times New Roman" w:cs="Times New Roman"/>
          <w:sz w:val="28"/>
          <w:szCs w:val="28"/>
          <w:lang w:val="uk-UA"/>
        </w:rPr>
        <w:t>закладі продов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жується </w:t>
      </w:r>
      <w:r w:rsidR="007526FD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впровадженню інноваційної освітньої діяльності:</w:t>
      </w:r>
    </w:p>
    <w:p w:rsidR="007526FD" w:rsidRPr="003B6362" w:rsidRDefault="007526FD" w:rsidP="00BB1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Методика навчання дітей розповіданню за схемами (О. Білан)</w:t>
      </w:r>
    </w:p>
    <w:p w:rsidR="007526FD" w:rsidRPr="003B6362" w:rsidRDefault="007526FD" w:rsidP="00BB1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Коректурні таблиці Н. Гавриш, О.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Безсонової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6FD" w:rsidRPr="003B6362" w:rsidRDefault="007526FD" w:rsidP="00BB1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Спадщина В. Сухомлинського.</w:t>
      </w:r>
    </w:p>
    <w:p w:rsidR="007526FD" w:rsidRPr="003B6362" w:rsidRDefault="007526FD" w:rsidP="00BB1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Здоров’язбережувальні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здоров’язберігаючі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технології.</w:t>
      </w:r>
    </w:p>
    <w:p w:rsidR="007526FD" w:rsidRDefault="007526FD" w:rsidP="00BB18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Музичне виховання дітей за системою Карла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Орфа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85A" w:rsidRPr="003B6362" w:rsidRDefault="00BB185A" w:rsidP="00BB185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529" w:rsidRDefault="008F0529" w:rsidP="00BB185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0529" w:rsidRDefault="008F0529" w:rsidP="00BB185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26FD" w:rsidRDefault="0094280B" w:rsidP="00BB185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85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Співпраця з родинами вихованців</w:t>
      </w:r>
    </w:p>
    <w:p w:rsidR="00BB185A" w:rsidRPr="00BB185A" w:rsidRDefault="00BB185A" w:rsidP="00BB185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526FD" w:rsidRPr="003B6362" w:rsidRDefault="007526FD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Питання взаємодії ЗДО і сім’ї знаходиться в полі зору учасників освітнього процесу. Виходячи з позиції, що родина і ЗДО, виконуючи специфічні виховні функції, не можуть замінити один одного і мають взаємодіяти задля повноцінного розвитку дитини-дошкільника, визначені такі аспекти окресленої проблеми: етико-педагогічні вимоги до взаємин із дітьми та їхніми батьками; умови для спільної роботи сі</w:t>
      </w:r>
      <w:r w:rsidR="0094280B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м’ї і педагогічного </w:t>
      </w:r>
      <w:proofErr w:type="spellStart"/>
      <w:r w:rsidR="0094280B" w:rsidRPr="003B6362">
        <w:rPr>
          <w:rFonts w:ascii="Times New Roman" w:hAnsi="Times New Roman" w:cs="Times New Roman"/>
          <w:sz w:val="28"/>
          <w:szCs w:val="28"/>
          <w:lang w:val="uk-UA"/>
        </w:rPr>
        <w:t>коллективу</w:t>
      </w:r>
      <w:proofErr w:type="spellEnd"/>
      <w:r w:rsidR="0094280B"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4280B" w:rsidRPr="003B636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формуванні моральних якостей особистості дитини; зміст і методи педагогічної освіти батьків; співробітництво вихователів дошкільного закладу із сім’єю щодо виховання дошкільників у дусі миру; педагогічні умови ефективної взаємодії ЗДО і сім’ї щодо формування у дітей культури здорового способу життя для збереження і укріплення здоров’я; особливості взаємодії з батьками дітей </w:t>
      </w:r>
      <w:r w:rsidR="0094280B" w:rsidRPr="003B6362">
        <w:rPr>
          <w:rFonts w:ascii="Times New Roman" w:hAnsi="Times New Roman" w:cs="Times New Roman"/>
          <w:sz w:val="28"/>
          <w:szCs w:val="28"/>
          <w:lang w:val="uk-UA"/>
        </w:rPr>
        <w:t>молодшого дошкільного</w:t>
      </w: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віку.</w:t>
      </w:r>
    </w:p>
    <w:p w:rsidR="007526FD" w:rsidRPr="003B6362" w:rsidRDefault="007526FD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Розуміння того, що саме в сім’ї закладається фундамент повноцінного фізичного і психічного розвитку дитини, спонукає дошкільний заклад до пильного вивчення запитів, потреб і вимог сучасної сім’ї, тобто, до тісної взаємодії ЗДО і родини.</w:t>
      </w:r>
    </w:p>
    <w:p w:rsidR="007526FD" w:rsidRPr="003B6362" w:rsidRDefault="007526FD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Вирішуючи питання </w:t>
      </w:r>
      <w:proofErr w:type="spellStart"/>
      <w:r w:rsidRPr="003B6362">
        <w:rPr>
          <w:rFonts w:ascii="Times New Roman" w:hAnsi="Times New Roman" w:cs="Times New Roman"/>
          <w:sz w:val="28"/>
          <w:szCs w:val="28"/>
          <w:lang w:val="uk-UA"/>
        </w:rPr>
        <w:t>педагогізації</w:t>
      </w:r>
      <w:proofErr w:type="spellEnd"/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 батьків, слід акцентувати увагу на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дитину, як найбільшу цінність, яка виховується відповідно до сімейних традицій;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батьків (сім`я, родина) – найбільша моральна цінність, оберіг моралі й духовності;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педагога – професіонала, партнера, який створює дух творчості, спрямовує взаємодію, вчить мистецтву життя, життєвої компетентності.</w:t>
      </w:r>
    </w:p>
    <w:p w:rsidR="007526FD" w:rsidRPr="003B6362" w:rsidRDefault="007526FD" w:rsidP="00BB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Пріоритетні напрямки роботи з батьками: 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всебічне вивчення становища, статусу родини та моделі взаємодії з ними для здійснення диференційованого підходу;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залучення батьків до співпраці у створенні належних умов для життєдіяльності та розвитку дітей;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сприяння підвищенню психологічної та педагогічної компетентності батьків щодо розуміння закономірностей розвитку дитини, а також питань навчання і виховання дошкільнят;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залучення батьків до активної участі в заходах, що проводяться в закладі, формування в них відчуття приналежності до колективу дитячого садка як однодумців і спільників;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- формування усвідомленого розуміння батьками своєї відповідальності за максимальне забезпечення дитині повноцінного життя в майбутньому.</w:t>
      </w:r>
    </w:p>
    <w:p w:rsidR="007526FD" w:rsidRPr="003B6362" w:rsidRDefault="007526FD" w:rsidP="00BB1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62">
        <w:rPr>
          <w:rFonts w:ascii="Times New Roman" w:hAnsi="Times New Roman" w:cs="Times New Roman"/>
          <w:sz w:val="28"/>
          <w:szCs w:val="28"/>
          <w:lang w:val="uk-UA"/>
        </w:rPr>
        <w:t>Удосконалювати роботу з батьками - це у разі необхідності вносити зміни, які збагачують зміст і форми роботи, покращують різні її показники, роблять більш доцільною, сучасною, гнучкою.</w:t>
      </w:r>
    </w:p>
    <w:p w:rsidR="004100D1" w:rsidRDefault="004100D1" w:rsidP="00BB185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</w:pPr>
      <w:r w:rsidRPr="00BB185A"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  <w:lastRenderedPageBreak/>
        <w:t>Інструменти забезпечення якості освіти</w:t>
      </w:r>
    </w:p>
    <w:p w:rsidR="00BB185A" w:rsidRPr="00BB185A" w:rsidRDefault="00BB185A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100D1" w:rsidRPr="004100D1" w:rsidRDefault="004100D1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аклад 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дошкільної освіти 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повністю укомплектований педагогічними кадрами. Освітній процес забезпечують 1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педагогів: 1- заступник директора з навчально-виховної роботи з дошкільної освіти, 1 вихователь-методист, 8 – виховател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ів, 1 – керівник музичний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. Згідно штатного розпису працює 16 працівників обслуговуючого персоналу та 1 медичний працівник.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Якісний склад педагогічних працівників на 202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н.р.</w:t>
      </w:r>
    </w:p>
    <w:tbl>
      <w:tblPr>
        <w:tblW w:w="8923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167"/>
        <w:gridCol w:w="2396"/>
        <w:gridCol w:w="1427"/>
        <w:gridCol w:w="1515"/>
      </w:tblGrid>
      <w:tr w:rsidR="004100D1" w:rsidRPr="004100D1" w:rsidTr="004100D1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Категорія </w:t>
            </w:r>
            <w:proofErr w:type="spellStart"/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</w:tr>
      <w:tr w:rsidR="004100D1" w:rsidRPr="004100D1" w:rsidTr="004100D1">
        <w:trPr>
          <w:trHeight w:val="542"/>
        </w:trPr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63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Середня спец</w:t>
            </w: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</w:tr>
      <w:tr w:rsidR="004100D1" w:rsidRPr="004100D1" w:rsidTr="008878A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з НВР з дошкільної освіти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100D1" w:rsidRPr="004100D1" w:rsidTr="008878A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100D1" w:rsidRPr="004100D1" w:rsidTr="008878A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63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63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100D1" w:rsidRPr="004100D1" w:rsidTr="008878A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100D1" w:rsidRPr="004100D1" w:rsidTr="008878A5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63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63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0D1" w:rsidRPr="004100D1" w:rsidRDefault="004100D1" w:rsidP="00BB18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00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діяльності: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 музична зала;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 спортивна зала;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 кабінет методиста;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- 1 комп’ютер;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-медичний</w:t>
      </w:r>
      <w:proofErr w:type="spellEnd"/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- 2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ноутбук</w:t>
      </w: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а;</w:t>
      </w:r>
    </w:p>
    <w:p w:rsidR="004100D1" w:rsidRPr="004100D1" w:rsidRDefault="004100D1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>- 3</w:t>
      </w: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принтера.</w:t>
      </w:r>
    </w:p>
    <w:p w:rsidR="004100D1" w:rsidRDefault="004100D1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0D1">
        <w:rPr>
          <w:rFonts w:ascii="Times New Roman" w:eastAsia="Calibri" w:hAnsi="Times New Roman" w:cs="Times New Roman"/>
          <w:sz w:val="28"/>
          <w:szCs w:val="28"/>
          <w:lang w:val="uk-UA"/>
        </w:rPr>
        <w:t>Предметно-просторове середовище закладу сучасне, розвивальне, як в кожній віковій групі так і в ЗДО в цілому. До поповнення ігрових осередків залучаються і батьки вихованців шляхом участі в акціях по виготовленню різних дидактичних матеріалів та іграшок власними руками. Проте, матеріально-технічне забезпечення освітньої діяльності закладу перебуває на середньому рівні (60%), враховуючи необхідність забезпечення іграшками та навчально-ігровими посібниками відповідно Примірного переліку ігрового та навчально-дидактичного обладнання для закладів дошкільної освіти, наказ МОН України від 19.12.2017р. № 1633.</w:t>
      </w:r>
    </w:p>
    <w:p w:rsidR="008F0529" w:rsidRDefault="008F052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0529" w:rsidRDefault="008F052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0529" w:rsidRDefault="008F052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185A" w:rsidRPr="003B6362" w:rsidRDefault="00BB185A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00D1" w:rsidRPr="00BB185A" w:rsidRDefault="004100D1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</w:pPr>
      <w:r w:rsidRPr="00BB185A"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  <w:lastRenderedPageBreak/>
        <w:t>Інструменти проведення моніторингу освітнього процесу</w:t>
      </w:r>
    </w:p>
    <w:p w:rsidR="00BB185A" w:rsidRPr="003B6362" w:rsidRDefault="00BB185A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3D9" w:rsidRPr="003B6362" w:rsidRDefault="003843D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- це засіб контролю за освітнім процесом, форма організації збору, зберігання, оброблення та розповсюдження інформації про діяльність педагогічного колективу ЗДО, що забезпечує безперервне стеження за станом освітньої роботи і прогнозування розвитку дошкільної освіти. </w:t>
      </w:r>
    </w:p>
    <w:p w:rsidR="003843D9" w:rsidRPr="003B6362" w:rsidRDefault="003843D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моніторингу є вивчення стану реалізації завдань Базового компонента дошкільної освіти, стану організації освітнього процесу в ЗДО. </w:t>
      </w:r>
    </w:p>
    <w:p w:rsidR="003843D9" w:rsidRPr="003B6362" w:rsidRDefault="003843D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моніторингового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в ЗДО: </w:t>
      </w:r>
    </w:p>
    <w:p w:rsidR="003843D9" w:rsidRPr="003B6362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Виявити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практичної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Базового компоненту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отримати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об'єктивну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прогнозувати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43D9" w:rsidRPr="003B6362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Дослідити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програмового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дошкільниками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до Базового компоненту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ЗДО. </w:t>
      </w:r>
    </w:p>
    <w:p w:rsidR="003843D9" w:rsidRPr="003B6362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3. Провести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порівняльний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відповідності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фактичних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ЗДО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прикінцевій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меті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вимогам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Державних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стандартів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43D9" w:rsidRPr="003B6362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Визначити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чинники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сприяють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покращенню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в ЗДО. </w:t>
      </w:r>
    </w:p>
    <w:p w:rsid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Надати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рекомендації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педагогам та батькам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дошкільників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стосовно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шляхів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покращення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дошкільної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спираючись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6362">
        <w:rPr>
          <w:rFonts w:ascii="Times New Roman" w:eastAsia="Calibri" w:hAnsi="Times New Roman" w:cs="Times New Roman"/>
          <w:sz w:val="28"/>
          <w:szCs w:val="28"/>
        </w:rPr>
        <w:t>моніторингу</w:t>
      </w:r>
      <w:proofErr w:type="spellEnd"/>
      <w:r w:rsidRPr="003B63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185A" w:rsidRPr="00BB185A" w:rsidRDefault="00BB185A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3D9" w:rsidRPr="00BB185A" w:rsidRDefault="003843D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</w:pPr>
      <w:r w:rsidRPr="00BB185A"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  <w:t>Основні показники реалізації освітньої діяльності</w:t>
      </w:r>
    </w:p>
    <w:p w:rsidR="00BB185A" w:rsidRPr="003843D9" w:rsidRDefault="00BB185A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3D9" w:rsidRPr="003843D9" w:rsidRDefault="003843D9" w:rsidP="00BB18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Основні показники, що характеризують найістотніші сторони розвитку дитини напередодні вступу до школи: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основні фізичні якості, рухові уміння, культурно-гігієнічні, оздоровчі навички та навички безпеки життєдіяльності;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сформований позитивний образ «Я», створена база особистісної культури дитини;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</w:r>
      <w:proofErr w:type="spellStart"/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самоставлення</w:t>
      </w:r>
      <w:proofErr w:type="spellEnd"/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, самооцінка;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навички соціально визнаної поведінки, вміння орієнтуватись у світі людських взаємин, готовності співпереживати та співчувати іншим;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сформований інтерес та вміння розуміти інших, бажання долучатися до спільної діяльності з однолітками та дорослими, вміння оцінювати власні </w:t>
      </w: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можливості, поважати бажання та інтереси інших людей, узгоджувати свої інтереси, бажання, дії з іншими членами суспільства;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уявлення про природу планети Земля та Всесвіт;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розвинута емоційно-ціннісна відповідальність екологічного ставлення до природного довкілля, сформовані навички дотримання правил природокористування;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сформована готовність включатись у практичну діяльність, що пов’язана з природою;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сформоване почуття краси в її різних проявах, ціннісне ставлення до змісту предметного світу та світу мистецтва;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розвинуті творчі здібності;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елементарні трудові, технологічні та художньо-продуктивні навички, самостійність, культура та безпека праці;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навички культури споживання;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сформоване вміння будувати дружні, партнерські стосунки та ігрові об’єднання за інтересами;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доступні уявлення, еталони, що відображають ознаки, властивості та відношення предметів і об’єктів навколишнього світу;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сформована здатність застосовувати отримані знання у практичній діяльності, володіти способами пізнання дійсності;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розвинуте наочно-дієве, наочно-образне, словесно-логічне мислення;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сформований інтерес до пошуково-дослідницької діяльності;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елементарні математичні уявлення, цілісна картина світу;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сформована компетентна поведінка в різних життєвих ситуаціях;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сформована культура мовлення та спілкування;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засвоєні навички володіння елементарними правилами користування мовою у різних життєвих ситуаціях;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загально-навчальні уміння: розуміє мету діяльності, планує і виконує необхідні дії, контролює та оцінює свої результати;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сформовані організаційні вміння: уміє організовувати робоче місце, орієнтується в часі, виконує вказівки педагога, доводить роботу до кінця, вміє працювати з посібниками;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43D9">
        <w:rPr>
          <w:rFonts w:ascii="Times New Roman" w:eastAsia="Calibri" w:hAnsi="Times New Roman" w:cs="Times New Roman"/>
          <w:sz w:val="28"/>
          <w:szCs w:val="28"/>
          <w:lang w:val="uk-UA"/>
        </w:rPr>
        <w:t>- спостерігається прагнення до утвердження у новій соціальній ролі – школяра.</w:t>
      </w: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3D9" w:rsidRPr="003843D9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0D1" w:rsidRPr="004100D1" w:rsidRDefault="003843D9" w:rsidP="00BB18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815E4" w:rsidRPr="002B537D" w:rsidRDefault="00B815E4" w:rsidP="00BB185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B815E4" w:rsidRPr="002B537D" w:rsidSect="00C1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7D41"/>
    <w:multiLevelType w:val="hybridMultilevel"/>
    <w:tmpl w:val="CC2C420C"/>
    <w:lvl w:ilvl="0" w:tplc="85F6BA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482"/>
    <w:rsid w:val="001A6766"/>
    <w:rsid w:val="00202B12"/>
    <w:rsid w:val="00265D0C"/>
    <w:rsid w:val="002B537D"/>
    <w:rsid w:val="003445FE"/>
    <w:rsid w:val="003843D9"/>
    <w:rsid w:val="003B6362"/>
    <w:rsid w:val="004100D1"/>
    <w:rsid w:val="0043753F"/>
    <w:rsid w:val="004F001B"/>
    <w:rsid w:val="0051588E"/>
    <w:rsid w:val="0054557A"/>
    <w:rsid w:val="005521A1"/>
    <w:rsid w:val="0060435D"/>
    <w:rsid w:val="006B4D5C"/>
    <w:rsid w:val="007372B5"/>
    <w:rsid w:val="007526FD"/>
    <w:rsid w:val="007A6917"/>
    <w:rsid w:val="008F0529"/>
    <w:rsid w:val="0094280B"/>
    <w:rsid w:val="00A11538"/>
    <w:rsid w:val="00B57A5A"/>
    <w:rsid w:val="00B57E07"/>
    <w:rsid w:val="00B815E4"/>
    <w:rsid w:val="00BB185A"/>
    <w:rsid w:val="00C1423C"/>
    <w:rsid w:val="00CB2A82"/>
    <w:rsid w:val="00D56200"/>
    <w:rsid w:val="00DD2B76"/>
    <w:rsid w:val="00E22888"/>
    <w:rsid w:val="00ED74D4"/>
    <w:rsid w:val="00F5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FD"/>
    <w:pPr>
      <w:ind w:left="720"/>
      <w:contextualSpacing/>
    </w:pPr>
  </w:style>
  <w:style w:type="character" w:styleId="a4">
    <w:name w:val="Strong"/>
    <w:basedOn w:val="a0"/>
    <w:uiPriority w:val="22"/>
    <w:qFormat/>
    <w:rsid w:val="00737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15268</Words>
  <Characters>8704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2022-11-18T08:03:00Z</dcterms:created>
  <dcterms:modified xsi:type="dcterms:W3CDTF">2022-12-06T12:02:00Z</dcterms:modified>
</cp:coreProperties>
</file>